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D5" w:rsidRPr="006172D5" w:rsidRDefault="006172D5" w:rsidP="006172D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bookmarkStart w:id="0" w:name="_Toc23929203"/>
      <w:bookmarkStart w:id="1" w:name="_Toc24113994"/>
      <w:r w:rsidRPr="006172D5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Emelt szintű érettségire felkészítő foglalkozás - magyar nyelv és irodalom</w:t>
      </w:r>
      <w:bookmarkEnd w:id="0"/>
      <w:bookmarkEnd w:id="1"/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hu-HU"/>
        </w:rPr>
      </w:pPr>
      <w:r w:rsidRPr="006172D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hu-HU"/>
        </w:rPr>
        <w:t>Célok és feladatok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magyar nyelv és irodalom tantárgy biztos és állandó értékeket és a jelenben alakuló, változó kultúrát közvetít. Tartalommal tölti meg és erősíti a nemzeti nyelvi és kulturális identitást; a minőségi megnyilatkozás iránti igényt, az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etikai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erkölcsi ítélőképességet és elősegíti a jelen és a jövő egységesülő világában más kultúrák megismerését. A tanításnak </w:t>
      </w:r>
      <w:r w:rsidRPr="006172D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hiteles kérdések és válaszok </w:t>
      </w: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megfogalmazásával kell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reagálnia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diákok mindennapi életvilágára. Így például azzal is számolnia kell, hogy az elektronikus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információ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hordozók, a műholdas televíziózás, a videokultúra térhódításának közegében működik. E kihívás még előre nem látható erővel hat a könyv kulturális,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információ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hordozó és szellemi jelentőségére. Tudnia kell azt is, hogy az ifjúsági szubkultúrán belül a zenének és a mozgóképi művészeteknek nagy szerepük van; de azt is figyelembe kell vennie, hogy a kulturális hátrány, a szegénység és az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élményhiány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mint nyelvi deficit jelentkezik az iskolában, a nyelvi manipulációt és az információ szabadságát egyaránt megtapasztalja az érintett korosztály.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2" w:name="pr2819"/>
      <w:bookmarkEnd w:id="2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Tantárgyaink feladata, hogy az iskola mindennapjaiban hatékony és meggyőző legyen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egyrészt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mint a tanuláshoz elengedhetetlenül szükséges önkifejezési, szövegértési, gondolkodási képességeket fejlesztő tartalmak és tevékenységek rendszere, másrészt mint az érzelmi élet gazdagítása, a személyiségfejlesztés, az értékátadás meghatározó terepe.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172D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hu-HU"/>
        </w:rPr>
        <w:t>Fejlesztési követelmények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3" w:name="pr2826"/>
      <w:bookmarkEnd w:id="3"/>
      <w:r w:rsidRPr="006172D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A kulturált nyelvi magatartásra </w:t>
      </w: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való fölkészítés középiskolai fokon is alapkövetelmény a magyar nyelvi és irodalmi nevelésben. Az életkornak megfelelően fejlett kommunikáció minden beszédhelyzetben a beszédpartnerekkel való együttműködés képességét jelenti, a másként vélekedők álláspontjának felfogását, tiszteletét, a saját vélemény megvédését, illetve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korrigálását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4" w:name="pr2827"/>
      <w:bookmarkEnd w:id="4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Feltételezi a kommunikációs zavarok fölismerését és képességet feloldásukra, kritikus magatartást a téves ítéletek, a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manipulációs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szándékok fölismerésében. A hatásos kommunikáció megkívánja a verbális eszközök, s szöveg- és mondatfonetikai eszközök és a nem verbális kifejezés (testbeszéd) sikeres összehangolását, a megfelelő stílust és magatartást a magán- és a nyilvános kommunikáció ismeretlen helyzeteiben is. A fejlesztés fontos területe a tömegkommunikációra vonatkozó tudásanyag bővítése: az általános iskolában tanult műfajok körének kiterjesztése, az értő, kritikus befogadáson kívül önálló szövegalkotás néhány publicisztikai műfajban.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5" w:name="pr2828"/>
      <w:bookmarkEnd w:id="5"/>
      <w:r w:rsidRPr="006172D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A középiskola szintjének megfelelő szövegértés fejlesztésében </w:t>
      </w: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követelmény az elemzési jártasság színvonalának emelése a tanult leíró nyelvtani, szövegtani, jelentéstani ismeretekkel és az elemzés kiterjesztése a szépirodalmi szövegek mellett a szakmai-tudományos, publicisztikai, közéleti szövegek feldolgozására, értelmezésére is. Ez a tevékenység magában foglalja a szövegek nyelvi-stilisztikai, retorikai sajátságainak megnevezését, jelentésszerkezetük, gondolatmenetük feltárását, a szöveg szó szerinti és mögöttes jelentésének </w:t>
      </w: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értelmezését. A szövegértésnek ki kell terjednie a szövegek közti kapcsolatok vizsgálatára, az azonos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problémák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különböző megközelítéseinek, a különféle műértelmezéseknek az összehasonlítására és a velük kapcsolatos önálló állásfoglalásra.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6" w:name="pr2829"/>
      <w:bookmarkEnd w:id="6"/>
      <w:r w:rsidRPr="006172D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A szövegalkotás folyamatos fejlesztése </w:t>
      </w: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szabatos fogalmazás követelményén kívül a személyiséget kifejező, egyéni stílus bátorítását is jelenti. A szövegértés és -alkotás képessége ezen a fokon egyaránt kiterjed az egyén magánéletének és társas-társadalmi életének minden szóbeli és írásbeli megnyilatkozására, valamennyi kommunikációs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funkcióban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(tájékoztató-ábrázoló, kifejező, meggyőző, felhívó, kapcsolatteremtő és -tartó). A korábban is gyakorolt közlésformák (elbeszélés, leírás, jellemzés) folyamatos fejlesztésén túl kiemelkedően fontos, hogy kellő gyakorlatot szerezzenek a diákok az érvelés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technikájában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szóban és írásban egyaránt. Továbbra is fontos sokféle lehetőség biztosítása a kreatív szövegalkotó tevékenységre, például személyes élmények, belső képek fölidézésére, a játékos szöveg átalakításra, újságműfajok művelésére, valamint hosszabb felkészülést igénylő tanulmány, pályázat alkotására. A változatos szövegelemző eljárások önálló használata biztosítja a művek gondolati, erkölcsi, esztétikai jellemzőinek egyre teljesebb megértését, a fejlett kifejezőképesség pedig a következtetések szabatos, az egyéni véleményt, élményt is kifejező bemutatását.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7" w:name="pr2830"/>
      <w:bookmarkEnd w:id="7"/>
      <w:r w:rsidRPr="006172D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A tanulási képesség fejlesztésének </w:t>
      </w: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fontos területe a kapcsolatteremtés és az együttműködés képességének alakítása a társakkal, a szöveggel; a nyelvhasználat, a gondolkodás, a viselkedés és érzelemkifejezés összefüggéseinek megértése. Feladata másrészt a kognitív képességek tevékenységekben való alakítása: a történeti gondolkodás, a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probléma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megoldó gondolkodás, a jelentésszintekre vonatkozó szövegelemzési eljárások, az indukció és dedukció, a következtetés, az analízis és szintézis logikai eljárásainak alkalmazása. 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Szorosan összefügg ezzel a rendszeres könyvtári munka, a különféle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információ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hordozók használata, annak a képességnek elsajátítása, hogy kellő problémaérzékenységgel, kreativitással és önállósággal igazodjanak el az információk világában; értelmesen és </w:t>
      </w:r>
      <w:proofErr w:type="spell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értékteremtően</w:t>
      </w:r>
      <w:proofErr w:type="spell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tudjanak élni az önképzés lehetőségeivel.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8" w:name="pr2831"/>
      <w:bookmarkEnd w:id="8"/>
      <w:r w:rsidRPr="006172D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A magyar nyelv életének, rendszerének ismerete </w:t>
      </w: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középiskolai fokon alapkövetelményként jelenti a grammatikai, szövegtani, jelentéstani, stilisztikai-retorikai, helyesírási jelenségek önálló fölismerését, fogalmi szintű meghatározásukat, a tanultak tudatos alkalmazását. Ezt kiegészíti a nyelv és társadalom viszonyáról, illetve a nyelvi állandóság és változás folyamatáról szerzett tudás. Ezek az ismeretek alapozzák meg a nyelvi normákhoz való tudatos alkalmazkodást, a nyelvhelyességi kérdések felelős megítélését, az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aktív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nyelvművelésben való részvételt, a saját nyelvi teljesítmény tökéletesítését. Az anyanyelvi műveltség fontos összetevője a tájékozottság a magyar nyelv eredetéről, rokonságáról, történetének főbb korszakairól; a magyar nyelv és a magyar művelődés elválaszthatatlan kapcsolatának tudatosodása és élményi átélése. A tanulmányoknak ezen a fokán nyílik valódi lehetőség az anyanyelvi ismeretek tudatos felhasználására az idegen nyelvek tanulásában.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9" w:name="pr2832"/>
      <w:bookmarkEnd w:id="9"/>
      <w:r w:rsidRPr="006172D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lastRenderedPageBreak/>
        <w:t xml:space="preserve">Az irodalom és az olvasó kapcsolatában </w:t>
      </w: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változatlan követelmény annak magasabb szinten való megértése, hogy milyen élményeket, érzelmeket, jelentéseket közvetít az irodalom az egyének és a közösség számára. Változatlanul igény az irodalomtanítás élményszerűsége, a kapcsolatteremtés a tananyag és a tanulók személyes élet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problémái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között, az irodalmi élményeknek nemcsak tárgyszerű, hanem kreatív, játékos feldolgozása is. Középiskolai fokon elvárható a művek tágabb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kontextusban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való látása, például egy-egy téma változatainak, más művészeti ágakban való adaptációinak összehasonlítása. Annak vizsgálata, milyen hatása és olvasatai voltak a műnek a maga korában, mik az érintkezési pontjai a kortársak műveivel, milyen a megítélése az utókorban. Hozzátartozik ehhez a teljesebb irodalomtudáshoz a magyar irodalom néhány jelentős témájának, kapcsolódási pontjának fölismerése eltérő világlátású, szemléletű művekben, például élet és halál, szűkebb és tágabb természeti és társadalmi környezet, barátság, szerelem, nemzeti hagyományok, érzelmi-szellemi kötődések, magyarság és európaiság témakörében.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10" w:name="pr2833"/>
      <w:bookmarkEnd w:id="10"/>
      <w:r w:rsidRPr="006172D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Az irodalmi műveltség elsajátítása </w:t>
      </w: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több összetevőből áll. Elsősorban képesség a művek jelentésének, erkölcsi tartalmának, esztétikai elemeinek megértésére, megfogalmazására a tanult fogalmak használatával szóban és írásban. E tudás része az irodalom folytonosságának és változó jellegének fölismerése, tájékozottság a magyar irodalom történetében, a magyar és az európai irodalom néhány kapcsolódási pontjában. De idetartozik az alapvető korstílusok és műfajok ismerete, néhány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klasszikus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magyar író, költő pályaképének, életútja fontosabb állomásainak, illetve más alkotók írói portréjának önálló bemutatása. Az irodalmi tanulmányok fontos kiegészítője a folyamatos tájékozódás a nevezetes emlékhelyekről, különösen a régió, a lakóhely irodalmi vonatkozásairól.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11" w:name="pr2834"/>
      <w:bookmarkEnd w:id="11"/>
      <w:r w:rsidRPr="006172D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Az ítélőképesség, az erkölcsi, esztétikai érzékenység </w:t>
      </w: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felnőttkor küszöbére ért ember meghatározó tulajdonsága. E téren a magyar nyelvi és irodalmi tanulmányokra jelentős szerep hárul a logikus gondolkodás képességének növelésében és az önismeret, az önkritikai érzék folyamatos fejlesztésében. Az irodalmi művek feldolgozásában a véleményeknek teret adó megbeszélés növeli a fogékonyságot az igazságra, a megértésre, az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együttérzésre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mint értékre, segítheti az erkölcsi és érzelmi konfliktusok felfogását, ráhangolhat a pozitív érzelmekre, a derűre, a szépségre.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D50D0" w:rsidRDefault="00CD50D0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br w:type="page"/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                               </w:t>
      </w:r>
      <w:r w:rsidRPr="006172D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11. </w:t>
      </w:r>
      <w:proofErr w:type="gramStart"/>
      <w:r w:rsidRPr="006172D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évfolyam                        Óraszám</w:t>
      </w:r>
      <w:proofErr w:type="gramEnd"/>
      <w:r w:rsidRPr="006172D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heti 2 óra  - 72 óra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hu-HU"/>
        </w:rPr>
      </w:pPr>
      <w:r w:rsidRPr="006172D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hu-HU"/>
        </w:rPr>
        <w:t xml:space="preserve">Célok: 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Az emelt szintű érettségi írásbeli feladatainak megoldási technikáját elsajátítani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Ismerkedés  a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feladattípusokkal. Kiemelt szerepet kapnak azok a feladatok, amelyek már </w:t>
      </w:r>
      <w:proofErr w:type="gramStart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két évnyi</w:t>
      </w:r>
      <w:proofErr w:type="gramEnd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irodalom és nyelvtan tanulmányok után is megoldhatók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t>Az alapóraszám tantervi anyagának kiegészítése, különös tekintettel a világirodalmi részekre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3030"/>
      </w:tblGrid>
      <w:tr w:rsidR="006172D5" w:rsidRPr="006172D5" w:rsidTr="00E12FFE">
        <w:trPr>
          <w:trHeight w:val="470"/>
          <w:tblHeader/>
        </w:trPr>
        <w:tc>
          <w:tcPr>
            <w:tcW w:w="6141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Gyakorlati írásbeliség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Ismeretek, követelmények</w:t>
            </w:r>
          </w:p>
        </w:tc>
        <w:tc>
          <w:tcPr>
            <w:tcW w:w="3071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Órakeret: 20 óra, ebből dolgozat 2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6172D5" w:rsidRPr="006172D5" w:rsidTr="00E12FFE">
        <w:tc>
          <w:tcPr>
            <w:tcW w:w="6141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J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avaslatok a feladatok kidolgozásához: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gyakorlati írásbeliség feladattípus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műfajilag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 xml:space="preserve"> elég változatos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ezért mindig a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konkrét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feladat célkitűzését kell szem előtt tartani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fogalmazás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nak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tömörnek és érthetőnek kell lennie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terjedelem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ne legyen több egy oldalnál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ha a feladat nem jelöl meg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számokat, adatokat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akkor azt ki kell találni pl. cégeket, utca és személyneveket,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dátumokat</w:t>
            </w:r>
            <w:proofErr w:type="gramEnd"/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ha a feladat azt várja el, hogy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aláírás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legyen a végén, nem lehet saját nevet írni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szóbeli megnyilvánulások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megfogalmazásakor figyelembe kell venni, hogy szükség van a hallgatóság megszólítására, jó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indulatának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megnyerésére, a figyelmének felkeltésére, a beszédmű végén búcsú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formulára</w:t>
            </w:r>
            <w:proofErr w:type="gramEnd"/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 xml:space="preserve">blog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írásának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célja :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önkifejezés, gondolatok közreadása, témája sokrétű: személyes napló, üzleti jellegű kommunikáció, véleménynyilvánítás, jelölni kell az írás idejét, a felhasználói nevet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fülszöveg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legyen rövid, tagolt, logikus és meggyőző, ajánló jellegű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 xml:space="preserve">plakát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elsődleges célja a felhívás, ezért fontos a formai megtervezése: betűtípusok, a betűk nagysága, az elrendezés, tartalmazhat rajzot, céljának megfelelő adatokkal kell rendelkeznie pl.: hely, idő, téma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szabályzat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nak hitelessége és egyértelműsége a legkiemelkedőbb jellemzője, formaiságára a pontokba szedés jellemző, stílusa legyen tárgyilagos és utasító jellegű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 xml:space="preserve">jegyzőkönyv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hivatalos okirat, készülhet eseményekről, tényekről, két típusa lehet: szó szerinti és jegyzőkönyvkivonat- mindkettő adataiban szerepelnie kell a jegyzőkönyv megírása helyének, idejének, a jelenlevőknek, a jegyzőkönyvvezető nevének- ezeket a feladat megoldójának kell kitalálnia. Szerkesztésére jellemző a fejléc / tartalmazza a megírás helyét, a tárgyat/, a záradék, a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dátum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és a hitelesítők nevének felsorolása,  a végén szerepeljen a jegyzőkönyv megírójának aláírása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meghívó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ban fel kell tüntetni a meghívás célját, idejét, helyét, esetlegesen napirendet, a meghívó személyét, lehet rajta rajz, lehet változatos a betűtípusa, kiemelheti a fontos adatokat, tartalmazhat idézeteket, esetleg rajzot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levél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két alapvető fajtája meghatározza a fogalmazás stílusát: 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hivatalos levél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legyen tényközlő és tömör, 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magánlevél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ben lehet személyes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reflexió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szerepet kaphat az érzelem is.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Kötelező mindkét változatban a formai követelmények betartása: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fejléc- címzés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                  címzett neve a papír bal oldalán, megszólítás középen, keltezés, aláírás a levél szövege után, melléklet- a csatolt iratok felsorolása a bal alsó sarokban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bejegyzés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nek tartalmaznia kell a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dátumot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a bejegyzés célját, a készítő nevét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 xml:space="preserve">hirdetés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meg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kell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hogy ragadja az olvasójának figyelmét, legyen ötletes, tömör, feltétlenül oda kell írni, hogy hogyan lehet a hirdetésre jelentkezni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tudósítás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fő ismérve az élményszerűség és a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plasztikusság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érdekessé kell tennie a témát, amelyről szól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kérvény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fontos elemei: a kérelmező neve, a kérés tárgya, a kérvény megírásának ideje, illik megköszönni a kérés elolvasását, meghallgatását- formailag hivatalos levél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határozat a hivatalos okiratok egyik típusa, három egysége: rendelkezés / a határozat ismertetése/, indoklás jogszabályokra hivatkozásokkal,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zárás keltezéssel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aláírással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az igazolás a hivatalos levél sajátos változata, a fejléc után tájékoztató rész következik: ki, hol, miért hiányzott, majd az igazolás kiállítójának hiteles aláírása és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dátum</w:t>
            </w:r>
            <w:proofErr w:type="gramEnd"/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magyar nyelvtan órán 9. és 10. évfolyamon tanultak felhasználása 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helyesírási gyakorlatok-tulajdonnevek írása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hivatalok nyomtatványai</w:t>
            </w:r>
          </w:p>
        </w:tc>
      </w:tr>
    </w:tbl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6"/>
      </w:tblGrid>
      <w:tr w:rsidR="006172D5" w:rsidRPr="006172D5" w:rsidTr="00E12FFE">
        <w:trPr>
          <w:trHeight w:val="470"/>
          <w:tblHeader/>
        </w:trPr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Egy mű elemzése: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Ismeretek, követelmények</w:t>
            </w:r>
          </w:p>
        </w:tc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Órakeret</w:t>
            </w:r>
            <w:proofErr w:type="gramStart"/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:</w:t>
            </w: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   </w:t>
            </w: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30</w:t>
            </w:r>
            <w:proofErr w:type="gramEnd"/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óra, ebből dolgozatírásra 2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6172D5" w:rsidRPr="006172D5" w:rsidTr="00E12FFE"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emelt szintű írásbeli érettségi vizsgán a nyelvi-műveltségi teszt mellett három szövegalkotási feladat vár a vizsgázókra: egy irodalmi mű adott szempontú értelmezése,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reflektálás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egy jelenségre és gyakorlati írásbeliség.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első feladat egy műelemző fogalmazás. Ennek során a diáknak értelmeznie kell az irodalmi alkotást egy meghatározott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szempont szerint. Ez nem teljesen azonos az adott mű tolmácsolásával.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feladat során: 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- tartalmi / téma, cselekmény, szereplők, motívumok, cím, beszélő/elbeszélő szerepe stb. / és formai / tagolás, stílus, ritmika, versforma stb. / elemzést 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- korábban elsajátított irodalmi és nyelvtani fogalmak használatát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-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konkrét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irodalmi példákat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- egyéni-egyedi gondolatokat, szempontokat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kell alkalmaznia, kifejtenie a vizsgázónak.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Hasznos lehet a végleges szöveg megírása előtti vázlatkészítés, amelyben a megadott terjedelem miatt a fogalmazás arányait is több lehetőség van átgondolni.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 xml:space="preserve">- 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Megadott szempont alapján műelemzés készítése először közös munkával, majd önállóan.</w:t>
            </w:r>
          </w:p>
        </w:tc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 9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osztályban tanult műelemzési módszer alkalmazása, kiegészítése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magyar nyelvtan órán 11. osztályban tanult stilisztikai ismeretek ismétlése, kiegészítése</w:t>
            </w:r>
          </w:p>
        </w:tc>
      </w:tr>
    </w:tbl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8"/>
      </w:tblGrid>
      <w:tr w:rsidR="006172D5" w:rsidRPr="006172D5" w:rsidTr="00E12FFE">
        <w:trPr>
          <w:trHeight w:val="470"/>
        </w:trPr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Kiegészítések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Ismeretek, követelmények</w:t>
            </w:r>
          </w:p>
        </w:tc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Órakeret -28 óra</w:t>
            </w:r>
          </w:p>
        </w:tc>
      </w:tr>
      <w:tr w:rsidR="006172D5" w:rsidRPr="006172D5" w:rsidTr="00E12FFE"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XIX.század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második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felének ,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XX.század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elejének novellairodalma 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         -     Gozsdu Elek, Tömörkény István, Gárdonyi Géza, Petelei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István ,Bródy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Sándor, Csáth Géza műveinek elemzése- a tárca novella fogalma, műfaji sajátosságai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Kitekintés a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XIX.század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végének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világirodalmára :</w:t>
            </w:r>
            <w:proofErr w:type="gramEnd"/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Flaubert, Zola, Maupassant, Mallarmé,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Withman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Rilke munkássága, legismertebb műveik- pozitivizmus, naturalizmus, regénytípusok</w:t>
            </w:r>
          </w:p>
        </w:tc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Megfilmesített novellák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Társművészeti párhuzamok, a stílustörténet órán tanultak alkalmazása</w:t>
            </w:r>
          </w:p>
        </w:tc>
      </w:tr>
    </w:tbl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D50D0" w:rsidRDefault="00CD50D0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br w:type="page"/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bookmarkStart w:id="12" w:name="_GoBack"/>
      <w:bookmarkEnd w:id="12"/>
      <w:r w:rsidRPr="006172D5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                                                  </w:t>
      </w:r>
      <w:r w:rsidRPr="006172D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12. </w:t>
      </w:r>
      <w:proofErr w:type="gramStart"/>
      <w:r w:rsidRPr="006172D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évfolyam               Óraszám</w:t>
      </w:r>
      <w:proofErr w:type="gramEnd"/>
      <w:r w:rsidRPr="006172D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heti 2 óra- 64 óra</w:t>
      </w: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523"/>
      </w:tblGrid>
      <w:tr w:rsidR="006172D5" w:rsidRPr="006172D5" w:rsidTr="00E12FFE">
        <w:trPr>
          <w:trHeight w:val="470"/>
        </w:trPr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proofErr w:type="gramStart"/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Reflektálás</w:t>
            </w:r>
            <w:proofErr w:type="gramEnd"/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egy jelenségre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Ismeretek, követelmények</w:t>
            </w:r>
          </w:p>
        </w:tc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Órakeret: 30 óra-ebből 2 dolgozatírásra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6172D5" w:rsidRPr="006172D5" w:rsidTr="00E12FFE"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-</w:t>
            </w: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Az írásbeli második szövegalkotási feladata a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reflektálás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 Az idegen szó kifejtő fogalmazást takar. Ez egy összetett feladattípus. A vizsgázó először egy, a témát felvető idézettel, majd ehhez kötődő feladattal találkozik, amely főleg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aktuális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problémákat vet fel a közélet, a tudományok és a művészetek területéről. Ehhez kell hozzászólnia a diáknak.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probléma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központú fogalmazásban: 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 a korjelenséget értelmeznie, elemző módon kell bemutatnia a diáknak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 önálló, egyéni véleményt kell megfogalmaznia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 a jelenségről kialakult véleményben nemcsak minősíteni, hanem indokolni, érvekkel alátámasztani kell a mondottakat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hivatkozásokkal, legalább 3-4 irodalmi példával, utalással /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 a hivatkozások általánosabb jellegűek is lehetnek, nemcsak olvasott /könyv, újság, internet/, hanem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audio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forrásokból / tv, rádió / merítettek is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 optimális esetben esszészerű fogalmazás készül el meghatározott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terjedelmi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keretek között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 a kritikai gondolkodás, a belső értékszűrő működése az elvárás 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Célszerű a feladat értelmezésével –az idézet figyelembevételével – kezdeni a munkát. Érdemes itt is az első gondolatokat vázlatosan rögzíteni, a példákat,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bizonyítékokat  pedig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azonnal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mellérendelni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 gondolatoknak.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érvelési feladatoknál tanult módszerek felhasználása, az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érvek  fajtái</w:t>
            </w:r>
            <w:proofErr w:type="gramEnd"/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kötelező olvasmányok közt nem szereplő olvasott művek értelmezése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Színházi előadások megtekintése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esszé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megírásának lehetséges módozatai</w:t>
            </w:r>
          </w:p>
        </w:tc>
      </w:tr>
    </w:tbl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172D5" w:rsidRPr="006172D5" w:rsidRDefault="006172D5" w:rsidP="00617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4"/>
      </w:tblGrid>
      <w:tr w:rsidR="006172D5" w:rsidRPr="006172D5" w:rsidTr="00E12FFE">
        <w:trPr>
          <w:trHeight w:val="470"/>
        </w:trPr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 kerettantervi kötelező anyag kiegészítése: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Ismeretek, követelmények</w:t>
            </w:r>
          </w:p>
        </w:tc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Órakeret 34-ebből 2 dolgozatírásra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6172D5" w:rsidRPr="006172D5" w:rsidTr="00E12FFE"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József Attila pl. szegény ember- versek, éjszaka-versek ,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Isten- vallás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tematikájú versek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XX. század világirodalma – pl. Truman Capote, Joseph Heller, Samuel Beckett, G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.B.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Shaw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  Látásmódok témakör: -pl. Sütő András, Dsida Jenő,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Kányádi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Sándor, Szabó Magda</w:t>
            </w: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 Az irodalom határterületei témakör-pl. megfilmesített regények,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bestsellerek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,detektív</w:t>
            </w:r>
            <w:proofErr w:type="spellEnd"/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regények-pl. Canon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Doyle,J.K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Rowling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Agatha </w:t>
            </w:r>
            <w:proofErr w:type="spell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Cristhie</w:t>
            </w:r>
            <w:proofErr w:type="spell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gramStart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Tolkien ,</w:t>
            </w:r>
            <w:proofErr w:type="gramEnd"/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Lőrinc L. László, Aldous Huxley művei, kiemelt részletek a művekből.</w:t>
            </w:r>
          </w:p>
        </w:tc>
        <w:tc>
          <w:tcPr>
            <w:tcW w:w="4606" w:type="dxa"/>
          </w:tcPr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</w:p>
          <w:p w:rsidR="006172D5" w:rsidRPr="006172D5" w:rsidRDefault="006172D5" w:rsidP="006172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72D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Népszerű megfilmesítések elemző értékelése</w:t>
            </w:r>
          </w:p>
        </w:tc>
      </w:tr>
    </w:tbl>
    <w:p w:rsidR="00E8141D" w:rsidRDefault="00E8141D"/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D5"/>
    <w:rsid w:val="006172D5"/>
    <w:rsid w:val="00CD50D0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A1570-84F2-4413-96AA-4A307034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2150</Words>
  <Characters>14839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2</cp:revision>
  <dcterms:created xsi:type="dcterms:W3CDTF">2020-06-29T08:12:00Z</dcterms:created>
  <dcterms:modified xsi:type="dcterms:W3CDTF">2020-06-29T08:14:00Z</dcterms:modified>
</cp:coreProperties>
</file>